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6"/>
          <w:szCs w:val="56"/>
        </w:rPr>
      </w:pPr>
      <w:bookmarkStart w:colFirst="0" w:colLast="0" w:name="_2gazcsgmxkub" w:id="0"/>
      <w:bookmarkEnd w:id="0"/>
      <w:r w:rsidDel="00000000" w:rsidR="00000000" w:rsidRPr="00000000">
        <w:rPr>
          <w:sz w:val="56"/>
          <w:szCs w:val="56"/>
          <w:rtl w:val="0"/>
        </w:rPr>
        <w:t xml:space="preserve">Town of Hallie - Town Board Meeting Agenda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nuf54q86v7q" w:id="1"/>
      <w:bookmarkEnd w:id="1"/>
      <w:r w:rsidDel="00000000" w:rsidR="00000000" w:rsidRPr="00000000">
        <w:rPr>
          <w:rtl w:val="0"/>
        </w:rPr>
        <w:t xml:space="preserve">Wednesday, 1.14.26</w:t>
      </w:r>
      <w:r w:rsidDel="00000000" w:rsidR="00000000" w:rsidRPr="00000000">
        <w:rPr>
          <w:rtl w:val="0"/>
        </w:rPr>
        <w:t xml:space="preserve"> @5:00 pm.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Hallie Town Office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13034 30th Ave</w:t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Chippewa Falls, WI 54729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Call to Order per Wis. Stats.19.84 and confirmation of the meeting notice.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Roll call - Mr. Eslinger       Mr. Gunderson       Mr. Peck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 w:right="-720" w:hanging="360"/>
        <w:rPr/>
      </w:pPr>
      <w:r w:rsidDel="00000000" w:rsidR="00000000" w:rsidRPr="00000000">
        <w:rPr>
          <w:rtl w:val="0"/>
        </w:rPr>
        <w:t xml:space="preserve">December 10, 2025 Town Board Meeting Minutes - Discussion - Action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Town of Hallie Code of Ordinance Adoption - Discussion - Action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WTA District Meetings - Discussion - Action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Emergency Operation Plan Signature Page Update - Discussion - Action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Correspondences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Construction Business Group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Department Report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Fire District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Clerk/Treasurer’s Report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Roads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Approve Vouchers and Pay Bills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Next Meeting Date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Town Board Meeting -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0" w:beforeAutospacing="0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Adjourn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T Sans Narrow" w:cs="PT Sans Narrow" w:eastAsia="PT Sans Narrow" w:hAnsi="PT Sans Narrow"/>
        <w:b w:val="0"/>
        <w:bCs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